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D5C96"/>
          <w:spacing w:val="30"/>
          <w:sz w:val="20"/>
          <w:szCs w:val="20"/>
        </w:rPr>
        <w:t xml:space="preserve">EMERGENCY CARE READINESS CAMPAIGN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430"/>
          <w:sz w:val="44"/>
          <w:szCs w:val="44"/>
        </w:rPr>
        <w:t xml:space="preserve">Day 5 Audit Tool — Stabilise, Communicate &amp; Transfer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1D5C96"/>
          <w:sz w:val="22"/>
          <w:szCs w:val="22"/>
        </w:rPr>
        <w:t xml:space="preserve">Purpose:  </w:t>
      </w:r>
      <w:r>
        <w:rPr>
          <w:rFonts w:ascii="Calibri" w:cs="Calibri" w:eastAsia="Calibri" w:hAnsi="Calibri"/>
          <w:color w:val="1F2430"/>
          <w:sz w:val="22"/>
          <w:szCs w:val="22"/>
        </w:rPr>
        <w:t xml:space="preserve">To audit the quality and safety of patient transfers from the centre: pre-transfer stabilisation, escort bag readiness, documentation (HP-218/HP-249), SBAR communication, en-route monitoring, handover — including sea transfers. Doubles as the centre's routine transfer audit for real cases.</w:t>
      </w:r>
    </w:p>
    <w:p>
      <w:pPr>
        <w:spacing w:after="200"/>
      </w:pPr>
      <w:r>
        <w:rPr>
          <w:rFonts w:ascii="Calibri" w:cs="Calibri" w:eastAsia="Calibri" w:hAnsi="Calibri"/>
          <w:b/>
          <w:bCs/>
          <w:color w:val="1D5C96"/>
          <w:sz w:val="22"/>
          <w:szCs w:val="22"/>
        </w:rPr>
        <w:t xml:space="preserve">Method:  </w:t>
      </w:r>
      <w:r>
        <w:rPr>
          <w:rFonts w:ascii="Calibri" w:cs="Calibri" w:eastAsia="Calibri" w:hAnsi="Calibri"/>
          <w:color w:val="1F2430"/>
          <w:sz w:val="22"/>
          <w:szCs w:val="22"/>
        </w:rPr>
        <w:t xml:space="preserve">Use during transfer simulations AND on real transfers (prospectively by an observer, or retrospectively from the transfer form and a short escort interview). Section A may be completed as a monthly spot check of the escort bag.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2100"/>
        <w:gridCol w:w="2940"/>
        <w:gridCol w:w="2100"/>
        <w:gridCol w:w="2940"/>
      </w:tblGrid>
      <w:tr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Date of audit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Auditor / observer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Activity audited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☐ Simulation   ☐ Real event   ☐ Spot check</w:t>
            </w:r>
          </w:p>
        </w:tc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Scenario / case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Team members present</w:t>
            </w:r>
          </w:p>
        </w:tc>
        <w:tc>
          <w:tcPr>
            <w:tcW w:type="dxa" w:w="798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200" w:before="120"/>
      </w:pPr>
      <w:r>
        <w:rPr>
          <w:rFonts w:ascii="Calibri" w:cs="Calibri" w:eastAsia="Calibri" w:hAnsi="Calibri"/>
          <w:color w:val="667085"/>
          <w:sz w:val="19"/>
          <w:szCs w:val="19"/>
        </w:rPr>
        <w:t xml:space="preserve">Scoring: Y = criterion fully met, N = not met, N/A = not applicable in this scenario. Compliance % = Y ÷ (Y + N) × 100. Target ≥ 90% overall; any single N in a starred (★) critical criterion triggers an action plan regardless of overall score.</w:t>
      </w:r>
    </w:p>
    <w:p>
      <w:pPr>
        <w:spacing w:after="80" w:before="160"/>
      </w:pPr>
      <w:r>
        <w:rPr>
          <w:rFonts w:ascii="Calibri" w:cs="Calibri" w:eastAsia="Calibri" w:hAnsi="Calibri"/>
          <w:b/>
          <w:bCs/>
          <w:color w:val="1D5C96"/>
          <w:sz w:val="26"/>
          <w:szCs w:val="26"/>
        </w:rPr>
        <w:t xml:space="preserve">A. Escort bag &amp; transfer equipment (spot check)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Escort bag present at its designated location, sealed, with signed check log current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Contents complete against the master list (airway/breathing, circulation, drugs, monitoring, paediatric insert)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All drugs in date; drug pouch sealed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4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Portable oxygen: at least one FULL cylinder plus spare; key present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5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Portable suction functional; batteries/charge checked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6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Monitoring equipment functional (SpO2, BP, glucometer with strips)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7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 named owner for the bag exists on the current shift and can be identified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8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Bag restocked and resealed same-day after last use (check log)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1D5C96"/>
          <w:sz w:val="26"/>
          <w:szCs w:val="26"/>
        </w:rPr>
        <w:t xml:space="preserve">B. Decision &amp; pre-transfer stabilisation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9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Transfer decision made and documented at the appropriate time (not after avoidable deterioration)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10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Urgency category assigned (time-critical / urgent / scheduled) and matched by the response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11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Logistics owner assigned in parallel with ongoing clinical care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12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Full ABCDE completed and life threats treated BEFORE departure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13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Oxygen needs calculated for at least twice the expected journey time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14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IV access secured (two lines for unstable patients); infusions labelled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15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Predictable next drug doses prepared and labelled (e.g., benzodiazepine, MgSO4, adrenaline)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16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Defibrillator/AED accompanies patients at risk of arrest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17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Appropriate escort selected for patient acuity (doctor/senior nurse for time-critical)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1D5C96"/>
          <w:sz w:val="26"/>
          <w:szCs w:val="26"/>
        </w:rPr>
        <w:t xml:space="preserve">C. Documentation — HP-218 / HP-249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18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Correct form(s) used and fully completed — no blank mandatory sections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19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Patient identifiers and allergies recorded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20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Clinical summary with working diagnosis present and legible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21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Serial vital signs with times (including NEWS2) recorded, not just one set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22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ALL drugs/fluids given recorded with dose, route and time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23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Running infusions documented with rate and start time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24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Referring clinician, escort and receiving clinician names/signatures with times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25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Original documents travelled with the patient; copy retained at the centre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1D5C96"/>
          <w:sz w:val="26"/>
          <w:szCs w:val="26"/>
        </w:rPr>
        <w:t xml:space="preserve">D. Communication — SBAR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26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Pre-departure SBAR call made to the receiving facility before leaving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27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All four SBAR elements present and in order (observed or per receiving notes)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28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Recommendation explicit: what is needed, ETA, and what the receiver should prepare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29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Loop closed: receiver's actions confirmed; call-back number exchanged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30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Receiving facility updated en route after any significant event or delay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31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Family informed of destination, reason, and expected course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1D5C96"/>
          <w:sz w:val="26"/>
          <w:szCs w:val="26"/>
        </w:rPr>
        <w:t xml:space="preserve">E. Journey &amp; monitoring (including sea transfer)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32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Monitoring level matched acuity (continuous SpO2/pulse for time-critical patients)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33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Vitals recorded en route at the required frequency on the transfer form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34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Deterioration en route managed with structured ABCDE and documented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35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Patient secured on stretcher; equipment and cylinders fixed (mandatory for boat transfers)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36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Sea transfer: go/no-go decided jointly with the boat crew using weather/sea state, with contingency stated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37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Sea transfer: antiemetic considered pre-departure; suction accessible at the head end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38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Communication equipment charged and tested; receiving side knew departure time and ETA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1D5C96"/>
          <w:sz w:val="26"/>
          <w:szCs w:val="26"/>
        </w:rPr>
        <w:t xml:space="preserve">F. Handover &amp; closure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39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Structured verbal handover (SBAR) delivered at destination including en-route events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40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Monitoring maintained until explicit verbal AND written acceptance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41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Documents physically handed to the receiving clinician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42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Acceptance signed with times by both parties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43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Escort bag restocked and resealed on return; deficiencies reported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44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Transfer debrief/feedback captured for the QI cycle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1D5C96"/>
          <w:sz w:val="26"/>
          <w:szCs w:val="26"/>
        </w:rPr>
        <w:t xml:space="preserve">Scoring summary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5220"/>
        <w:gridCol w:w="1740"/>
        <w:gridCol w:w="1740"/>
        <w:gridCol w:w="1740"/>
        <w:gridCol w:w="1640"/>
      </w:tblGrid>
      <w:tr>
        <w:trPr>
          <w:tblHeader/>
        </w:trPr>
        <w:tc>
          <w:tcPr>
            <w:tcW w:type="dxa" w:w="522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Section</w:t>
            </w:r>
          </w:p>
        </w:tc>
        <w:tc>
          <w:tcPr>
            <w:tcW w:type="dxa" w:w="174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174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174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164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% met</w:t>
            </w:r>
          </w:p>
        </w:tc>
      </w:tr>
      <w:tr>
        <w:tc>
          <w:tcPr>
            <w:tcW w:type="dxa" w:w="52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A. Escort bag &amp; transfer equipment (spot check)</w:t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B. Decision &amp; pre-transfer stabilisation</w:t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C. Documentation — HP-218 / HP-249</w:t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D. Communication — SBAR</w:t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E. Journey &amp; monitoring (including sea transfer)</w:t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F. Handover &amp; closure</w:t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OVERALL COMPLIANCE</w:t>
            </w:r>
          </w:p>
        </w:tc>
        <w:tc>
          <w:tcPr>
            <w:tcW w:type="dxa" w:w="17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1D5C96"/>
          <w:sz w:val="26"/>
          <w:szCs w:val="26"/>
        </w:rPr>
        <w:t xml:space="preserve">Key timed / outcome indicators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6120"/>
        <w:gridCol w:w="2000"/>
        <w:gridCol w:w="1960"/>
      </w:tblGrid>
      <w:tr>
        <w:trPr>
          <w:tblHeader/>
        </w:trPr>
        <w:tc>
          <w:tcPr>
            <w:tcW w:type="dxa" w:w="612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Indicator</w:t>
            </w:r>
          </w:p>
        </w:tc>
        <w:tc>
          <w:tcPr>
            <w:tcW w:type="dxa" w:w="20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Target</w:t>
            </w:r>
          </w:p>
        </w:tc>
        <w:tc>
          <w:tcPr>
            <w:tcW w:type="dxa" w:w="196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Achieved</w:t>
            </w:r>
          </w:p>
        </w:tc>
      </w:tr>
      <w:tr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Time-critical: decision to departure (door-in door-out)</w:t>
            </w:r>
          </w:p>
        </w:tc>
        <w:tc>
          <w:tcPr>
            <w:tcW w:type="dxa" w:w="20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≤ 30 min</w:t>
            </w:r>
          </w:p>
        </w:tc>
        <w:tc>
          <w:tcPr>
            <w:tcW w:type="dxa" w:w="19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Transfers with complete HP-218/HP-249 (no blank mandatory fields)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100%</w:t>
            </w:r>
          </w:p>
        </w:tc>
        <w:tc>
          <w:tcPr>
            <w:tcW w:type="dxa" w:w="19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Transfers with documented pre-departure SBAR call</w:t>
            </w:r>
          </w:p>
        </w:tc>
        <w:tc>
          <w:tcPr>
            <w:tcW w:type="dxa" w:w="20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100%</w:t>
            </w:r>
          </w:p>
        </w:tc>
        <w:tc>
          <w:tcPr>
            <w:tcW w:type="dxa" w:w="19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Transfers with en-route observations recorded at required frequency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≥ 90%</w:t>
            </w:r>
          </w:p>
        </w:tc>
        <w:tc>
          <w:tcPr>
            <w:tcW w:type="dxa" w:w="19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Escort bag spot check complete and sealed</w:t>
            </w:r>
          </w:p>
        </w:tc>
        <w:tc>
          <w:tcPr>
            <w:tcW w:type="dxa" w:w="20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100%</w:t>
            </w:r>
          </w:p>
        </w:tc>
        <w:tc>
          <w:tcPr>
            <w:tcW w:type="dxa" w:w="19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1D5C96"/>
          <w:sz w:val="26"/>
          <w:szCs w:val="26"/>
        </w:rPr>
        <w:t xml:space="preserve">Action plan — for every N and every ★ criterion not met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3600"/>
        <w:gridCol w:w="3600"/>
        <w:gridCol w:w="2440"/>
        <w:gridCol w:w="2440"/>
      </w:tblGrid>
      <w:tr>
        <w:trPr>
          <w:tblHeader/>
        </w:trPr>
        <w:tc>
          <w:tcPr>
            <w:tcW w:type="dxa" w:w="36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Finding / gap</w:t>
            </w:r>
          </w:p>
        </w:tc>
        <w:tc>
          <w:tcPr>
            <w:tcW w:type="dxa" w:w="360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Corrective action</w:t>
            </w:r>
          </w:p>
        </w:tc>
        <w:tc>
          <w:tcPr>
            <w:tcW w:type="dxa" w:w="244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Responsible</w:t>
            </w:r>
          </w:p>
        </w:tc>
        <w:tc>
          <w:tcPr>
            <w:tcW w:type="dxa" w:w="2440"/>
            <w:shd w:fill="1D5C9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Due date / re-audit</w:t>
            </w:r>
          </w:p>
        </w:tc>
      </w:tr>
      <w:tr>
        <w:trPr>
          <w:trHeight w:val="500" w:hRule="atLeast"/>
        </w:trPr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300"/>
      </w:pPr>
      <w:r>
        <w:rPr>
          <w:rFonts w:ascii="Calibri" w:cs="Calibri" w:eastAsia="Calibri" w:hAnsi="Calibri"/>
          <w:b/>
          <w:bCs/>
          <w:color w:val="1D5C96"/>
          <w:sz w:val="26"/>
          <w:szCs w:val="26"/>
        </w:rPr>
        <w:t xml:space="preserve">Sign-off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4030"/>
        <w:gridCol w:w="4030"/>
        <w:gridCol w:w="4020"/>
      </w:tblGrid>
      <w:tr>
        <w:tc>
          <w:tcPr>
            <w:tcW w:type="dxa" w:w="403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Auditor signature / date</w:t>
            </w:r>
          </w:p>
        </w:tc>
        <w:tc>
          <w:tcPr>
            <w:tcW w:type="dxa" w:w="403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Team leader signature / date</w:t>
            </w:r>
          </w:p>
        </w:tc>
        <w:tc>
          <w:tcPr>
            <w:tcW w:type="dxa" w:w="40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Medical director / QI lead</w:t>
            </w:r>
          </w:p>
        </w:tc>
      </w:tr>
      <w:tr>
        <w:trPr>
          <w:trHeight w:val="700" w:hRule="atLeast"/>
        </w:trPr>
        <w:tc>
          <w:tcPr>
            <w:tcW w:type="dxa" w:w="403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403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40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120" w:before="200"/>
      </w:pPr>
      <w:r>
        <w:rPr>
          <w:rFonts w:ascii="Calibri" w:cs="Calibri" w:eastAsia="Calibri" w:hAnsi="Calibri"/>
          <w:color w:val="667085"/>
          <w:sz w:val="19"/>
          <w:szCs w:val="19"/>
        </w:rPr>
        <w:t xml:space="preserve">Results feed the centre's quality-improvement cycle: audit → debrief → action plan → re-audit at the next drill. File completed forms with the QI coordinator.</w:t>
      </w:r>
    </w:p>
    <w:sectPr>
      <w:head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1" locked="0" layoutInCell="1" relativeHeight="26193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4762500" cy="2619375"/>
          <wp:effectExtent t="0" r="0" b="0" l="0"/>
          <wp:wrapNone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0" cy="261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27d80a4c4866ce9b317d02f0afc568d92c0080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5 Audit Tool — Stabilise, Communicate &amp; Transfer</dc:title>
  <dc:creator>Emergency Care Readiness Campaign</dc:creator>
  <cp:lastModifiedBy>Un-named</cp:lastModifiedBy>
  <cp:revision>1</cp:revision>
  <dcterms:created xsi:type="dcterms:W3CDTF">2026-08-02T23:22:11.261Z</dcterms:created>
  <dcterms:modified xsi:type="dcterms:W3CDTF">2026-08-02T23:22:11.261Z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